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AF03A2"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86154037"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86154038"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86195E" w:rsidRPr="0086195E" w:rsidRDefault="0086195E" w:rsidP="006977DE">
      <w:pPr>
        <w:pStyle w:val="ListParagraph"/>
        <w:numPr>
          <w:ilvl w:val="0"/>
          <w:numId w:val="1"/>
        </w:numPr>
        <w:autoSpaceDE w:val="0"/>
        <w:autoSpaceDN w:val="0"/>
        <w:adjustRightInd w:val="0"/>
        <w:rPr>
          <w:rFonts w:ascii="Arial" w:hAnsi="Arial" w:cs="Arial"/>
          <w:sz w:val="24"/>
          <w:szCs w:val="24"/>
          <w:lang w:val="ro-RO"/>
        </w:rPr>
      </w:pPr>
      <w:r>
        <w:rPr>
          <w:rFonts w:ascii="Arial" w:hAnsi="Arial" w:cs="Arial"/>
          <w:sz w:val="24"/>
          <w:szCs w:val="24"/>
          <w:lang w:val="en-US"/>
        </w:rPr>
        <w:t xml:space="preserve">Denumirea lucrarii  </w:t>
      </w:r>
      <w:r w:rsidR="001A2D59" w:rsidRPr="0086195E">
        <w:rPr>
          <w:rFonts w:ascii="Arial" w:hAnsi="Arial" w:cs="Arial"/>
          <w:sz w:val="24"/>
          <w:szCs w:val="24"/>
          <w:lang w:val="en-US"/>
        </w:rPr>
        <w:t xml:space="preserve"> </w:t>
      </w:r>
      <w:r w:rsidR="006977DE" w:rsidRPr="006977DE">
        <w:rPr>
          <w:rFonts w:ascii="Arial" w:hAnsi="Arial" w:cs="Arial"/>
          <w:b/>
          <w:bCs/>
          <w:sz w:val="24"/>
          <w:szCs w:val="24"/>
          <w:lang w:val="en-US"/>
        </w:rPr>
        <w:t>PUZ - RIDICARE RESTRICTIE DE CONSTRUIRE SI SCHIMBARE DESTINATIE DIN ZONA UNITATI INDUSTRIALE NEPOLUANTE SI SERVICII IN ZONA MIXTA INSTITUTII SI SERVICII SI LOCUINTE COLECTIVE SI MODIFICARE INDICATORI URBANISTICI</w:t>
      </w:r>
    </w:p>
    <w:p w:rsidR="0086195E" w:rsidRDefault="0086195E" w:rsidP="0086195E">
      <w:pPr>
        <w:tabs>
          <w:tab w:val="num" w:pos="993"/>
        </w:tabs>
        <w:autoSpaceDE w:val="0"/>
        <w:autoSpaceDN w:val="0"/>
        <w:adjustRightInd w:val="0"/>
        <w:ind w:left="851"/>
        <w:rPr>
          <w:rFonts w:ascii="Arial" w:hAnsi="Arial" w:cs="Arial"/>
          <w:sz w:val="24"/>
          <w:szCs w:val="24"/>
          <w:lang w:val="ro-RO"/>
        </w:rPr>
      </w:pPr>
    </w:p>
    <w:p w:rsidR="0086195E" w:rsidRPr="0086195E" w:rsidRDefault="0086195E" w:rsidP="0086195E">
      <w:pPr>
        <w:tabs>
          <w:tab w:val="num" w:pos="993"/>
        </w:tabs>
        <w:autoSpaceDE w:val="0"/>
        <w:autoSpaceDN w:val="0"/>
        <w:adjustRightInd w:val="0"/>
        <w:ind w:left="851"/>
        <w:rPr>
          <w:rFonts w:ascii="Arial" w:hAnsi="Arial" w:cs="Arial"/>
          <w:sz w:val="24"/>
          <w:szCs w:val="24"/>
          <w:lang w:val="ro-RO"/>
        </w:rPr>
      </w:pPr>
    </w:p>
    <w:p w:rsidR="00286AD0" w:rsidRPr="00286AD0" w:rsidRDefault="00373180" w:rsidP="00286AD0">
      <w:pPr>
        <w:pStyle w:val="ListParagraph"/>
        <w:numPr>
          <w:ilvl w:val="0"/>
          <w:numId w:val="1"/>
        </w:numPr>
        <w:autoSpaceDE w:val="0"/>
        <w:autoSpaceDN w:val="0"/>
        <w:adjustRightInd w:val="0"/>
        <w:rPr>
          <w:rFonts w:ascii="Arial" w:hAnsi="Arial" w:cs="Arial"/>
          <w:sz w:val="24"/>
          <w:szCs w:val="24"/>
          <w:lang w:val="ro-RO"/>
        </w:rPr>
      </w:pPr>
      <w:r w:rsidRPr="0086195E">
        <w:rPr>
          <w:rFonts w:ascii="Arial" w:hAnsi="Arial" w:cs="Arial"/>
          <w:sz w:val="24"/>
          <w:szCs w:val="24"/>
          <w:lang w:val="en-US"/>
        </w:rPr>
        <w:t xml:space="preserve">Amplasament    </w:t>
      </w:r>
      <w:r w:rsidR="0086195E">
        <w:rPr>
          <w:rFonts w:ascii="Arial" w:hAnsi="Arial" w:cs="Arial"/>
          <w:sz w:val="24"/>
          <w:szCs w:val="24"/>
          <w:lang w:val="en-US"/>
        </w:rPr>
        <w:t>:</w:t>
      </w:r>
      <w:r w:rsidR="00605ADE" w:rsidRPr="0086195E">
        <w:rPr>
          <w:rFonts w:ascii="Arial" w:hAnsi="Arial" w:cs="Arial"/>
          <w:b/>
          <w:sz w:val="24"/>
          <w:szCs w:val="24"/>
          <w:lang w:val="pt-BR"/>
        </w:rPr>
        <w:t xml:space="preserve"> </w:t>
      </w:r>
      <w:r w:rsidR="00605ADE" w:rsidRPr="0086195E">
        <w:rPr>
          <w:rFonts w:ascii="Arial" w:hAnsi="Arial" w:cs="Arial"/>
        </w:rPr>
        <w:t xml:space="preserve"> </w:t>
      </w:r>
      <w:r w:rsidR="0086195E" w:rsidRPr="0086195E">
        <w:rPr>
          <w:rFonts w:ascii="Arial" w:hAnsi="Arial" w:cs="Arial"/>
          <w:b/>
          <w:sz w:val="24"/>
          <w:szCs w:val="24"/>
          <w:lang w:val="pt-BR"/>
        </w:rPr>
        <w:t>municipiul PLOIESTI, Str. b-dul REPUBLICII  , Nr 1</w:t>
      </w:r>
      <w:r w:rsidR="006977DE">
        <w:rPr>
          <w:rFonts w:ascii="Arial" w:hAnsi="Arial" w:cs="Arial"/>
          <w:b/>
          <w:sz w:val="24"/>
          <w:szCs w:val="24"/>
          <w:lang w:val="pt-BR"/>
        </w:rPr>
        <w:t>46-150</w:t>
      </w:r>
      <w:r w:rsidR="00286AD0">
        <w:rPr>
          <w:rFonts w:ascii="Arial" w:hAnsi="Arial" w:cs="Arial"/>
          <w:b/>
          <w:sz w:val="24"/>
          <w:szCs w:val="24"/>
          <w:lang w:val="pt-BR"/>
        </w:rPr>
        <w:t xml:space="preserve"> , </w:t>
      </w:r>
    </w:p>
    <w:p w:rsidR="00373180" w:rsidRPr="0086195E" w:rsidRDefault="00286AD0" w:rsidP="00286AD0">
      <w:pPr>
        <w:pStyle w:val="ListParagraph"/>
        <w:autoSpaceDE w:val="0"/>
        <w:autoSpaceDN w:val="0"/>
        <w:adjustRightInd w:val="0"/>
        <w:ind w:left="3371" w:firstLine="229"/>
        <w:rPr>
          <w:rFonts w:ascii="Arial" w:hAnsi="Arial" w:cs="Arial"/>
          <w:sz w:val="24"/>
          <w:szCs w:val="24"/>
          <w:lang w:val="ro-RO"/>
        </w:rPr>
      </w:pPr>
      <w:r>
        <w:rPr>
          <w:rFonts w:ascii="Arial" w:hAnsi="Arial" w:cs="Arial"/>
          <w:b/>
          <w:sz w:val="24"/>
          <w:szCs w:val="24"/>
          <w:lang w:val="pt-BR"/>
        </w:rPr>
        <w:t>jud. PRAHOVA</w:t>
      </w:r>
      <w:r w:rsidR="0086195E" w:rsidRPr="0086195E">
        <w:rPr>
          <w:rFonts w:ascii="Arial" w:hAnsi="Arial" w:cs="Arial"/>
          <w:b/>
          <w:sz w:val="24"/>
          <w:szCs w:val="24"/>
          <w:lang w:val="pt-BR"/>
        </w:rPr>
        <w:t xml:space="preserve"> </w:t>
      </w:r>
    </w:p>
    <w:p w:rsidR="00373180" w:rsidRPr="004F1AA7" w:rsidRDefault="00373180" w:rsidP="00373180">
      <w:pPr>
        <w:ind w:left="4252"/>
        <w:jc w:val="both"/>
        <w:rPr>
          <w:sz w:val="24"/>
          <w:szCs w:val="24"/>
          <w:lang w:val="en-US"/>
        </w:rPr>
      </w:pPr>
    </w:p>
    <w:p w:rsidR="00D26853" w:rsidRPr="00D26853" w:rsidRDefault="00373180" w:rsidP="0086195E">
      <w:pPr>
        <w:pStyle w:val="ListParagraph"/>
        <w:numPr>
          <w:ilvl w:val="0"/>
          <w:numId w:val="1"/>
        </w:numPr>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286AD0">
        <w:rPr>
          <w:rFonts w:ascii="Arial" w:hAnsi="Arial" w:cs="Arial"/>
          <w:sz w:val="24"/>
          <w:szCs w:val="24"/>
          <w:lang w:val="en-US"/>
        </w:rPr>
        <w:tab/>
      </w:r>
      <w:r w:rsidR="006977DE">
        <w:rPr>
          <w:rFonts w:ascii="Arial" w:hAnsi="Arial" w:cs="Arial"/>
          <w:b/>
          <w:sz w:val="24"/>
          <w:szCs w:val="24"/>
          <w:lang w:val="pt-BR"/>
        </w:rPr>
        <w:t>MARISTAR COM</w:t>
      </w:r>
      <w:r w:rsidR="0086195E" w:rsidRPr="0086195E">
        <w:rPr>
          <w:rFonts w:ascii="Arial" w:hAnsi="Arial" w:cs="Arial"/>
          <w:b/>
          <w:sz w:val="24"/>
          <w:szCs w:val="24"/>
          <w:lang w:val="pt-BR"/>
        </w:rPr>
        <w:t xml:space="preserve">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B10105">
        <w:rPr>
          <w:rFonts w:ascii="Arial" w:hAnsi="Arial" w:cs="Arial"/>
          <w:sz w:val="24"/>
          <w:szCs w:val="24"/>
          <w:lang w:val="en-US"/>
        </w:rPr>
        <w:t>04</w:t>
      </w:r>
      <w:r w:rsidR="000C004C">
        <w:rPr>
          <w:rFonts w:ascii="Arial" w:hAnsi="Arial" w:cs="Arial"/>
          <w:sz w:val="24"/>
          <w:szCs w:val="24"/>
          <w:lang w:val="en-US"/>
        </w:rPr>
        <w:t xml:space="preserve"> </w:t>
      </w:r>
      <w:r w:rsidR="00B10105">
        <w:rPr>
          <w:rFonts w:ascii="Arial" w:hAnsi="Arial" w:cs="Arial"/>
          <w:sz w:val="24"/>
          <w:szCs w:val="24"/>
          <w:lang w:val="en-US"/>
        </w:rPr>
        <w:t>.</w:t>
      </w:r>
      <w:r w:rsidR="000C004C">
        <w:rPr>
          <w:rFonts w:ascii="Arial" w:hAnsi="Arial" w:cs="Arial"/>
          <w:sz w:val="24"/>
          <w:szCs w:val="24"/>
          <w:lang w:val="en-US"/>
        </w:rPr>
        <w:t xml:space="preserve"> </w:t>
      </w:r>
      <w:r w:rsidR="001A2D59">
        <w:rPr>
          <w:rFonts w:ascii="Arial" w:hAnsi="Arial" w:cs="Arial"/>
          <w:sz w:val="24"/>
          <w:szCs w:val="24"/>
          <w:lang w:val="en-US"/>
        </w:rPr>
        <w:t>201</w:t>
      </w:r>
      <w:r w:rsidR="00B10105">
        <w:rPr>
          <w:rFonts w:ascii="Arial" w:hAnsi="Arial" w:cs="Arial"/>
          <w:sz w:val="24"/>
          <w:szCs w:val="24"/>
          <w:lang w:val="en-US"/>
        </w:rPr>
        <w:t>8</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 xml:space="preserve">N </w:t>
      </w:r>
      <w:r w:rsidR="0095254E">
        <w:rPr>
          <w:b/>
        </w:rPr>
        <w:t>7</w:t>
      </w:r>
      <w:r w:rsidR="00510876">
        <w:rPr>
          <w:b/>
        </w:rPr>
        <w:t>.a-</w:t>
      </w:r>
      <w:r w:rsidR="0095254E">
        <w:rPr>
          <w:b/>
        </w:rPr>
        <w:t xml:space="preserve"> </w:t>
      </w:r>
      <w:r w:rsidR="00015B9D">
        <w:rPr>
          <w:b/>
        </w:rPr>
        <w:t>M1</w:t>
      </w:r>
      <w:r w:rsidR="00326069">
        <w:rPr>
          <w:b/>
        </w:rPr>
        <w:t xml:space="preserve"> </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95254E">
        <w:rPr>
          <w:b/>
        </w:rPr>
        <w:t>b</w:t>
      </w:r>
      <w:r w:rsidR="00D26853">
        <w:t xml:space="preserve"> </w:t>
      </w:r>
      <w:r w:rsidR="00D47E12">
        <w:t xml:space="preserve">- </w:t>
      </w:r>
      <w:r w:rsidR="00D47E12" w:rsidRPr="004F1AA7">
        <w:t xml:space="preserve">Zona </w:t>
      </w:r>
      <w:r w:rsidR="00D47E12">
        <w:t xml:space="preserve">MIXTA </w:t>
      </w:r>
      <w:r w:rsidR="00D26853">
        <w:t xml:space="preserve">Institutii si servicii </w:t>
      </w:r>
      <w:r w:rsidR="0095254E">
        <w:t>/ Locuinte colective</w:t>
      </w:r>
      <w:r w:rsidR="00326069">
        <w:t xml:space="preserve"> , Pp – Zona spatii verzi perdele de protectie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w:t>
      </w:r>
      <w:r w:rsidR="00326069">
        <w:rPr>
          <w:rFonts w:ascii="Times New Roman" w:hAnsi="Times New Roman" w:cs="Times New Roman"/>
          <w:b/>
          <w:bCs/>
          <w:sz w:val="28"/>
          <w:szCs w:val="28"/>
          <w:u w:val="single"/>
          <w:lang w:val="en-GB"/>
        </w:rPr>
        <w:t>/ L</w:t>
      </w:r>
      <w:r w:rsidR="00B30698" w:rsidRPr="00B30698">
        <w:rPr>
          <w:rFonts w:ascii="Times New Roman" w:hAnsi="Times New Roman" w:cs="Times New Roman"/>
          <w:b/>
          <w:bCs/>
          <w:sz w:val="28"/>
          <w:szCs w:val="28"/>
          <w:u w:val="single"/>
          <w:lang w:val="en-GB"/>
        </w:rPr>
        <w:t>ocuinte</w:t>
      </w:r>
      <w:r w:rsidR="00326069">
        <w:rPr>
          <w:rFonts w:ascii="Times New Roman" w:hAnsi="Times New Roman" w:cs="Times New Roman"/>
          <w:b/>
          <w:bCs/>
          <w:sz w:val="28"/>
          <w:szCs w:val="28"/>
          <w:u w:val="single"/>
          <w:lang w:val="en-GB"/>
        </w:rPr>
        <w:t xml:space="preserve"> colective</w:t>
      </w:r>
      <w:r w:rsidR="00B30698" w:rsidRPr="00B30698">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cu regim de inaltime P+</w:t>
      </w:r>
      <w:r w:rsidR="006977DE">
        <w:rPr>
          <w:rFonts w:ascii="Times New Roman" w:hAnsi="Times New Roman" w:cs="Times New Roman"/>
          <w:b/>
          <w:bCs/>
          <w:sz w:val="28"/>
          <w:szCs w:val="28"/>
          <w:u w:val="single"/>
          <w:lang w:val="en-GB"/>
        </w:rPr>
        <w:t>5 / P+8</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964486">
        <w:rPr>
          <w:rFonts w:ascii="Arial" w:hAnsi="Arial" w:cs="Arial"/>
          <w:sz w:val="24"/>
          <w:szCs w:val="24"/>
          <w:lang w:val="it-IT"/>
        </w:rPr>
        <w:t xml:space="preserve"> </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w:t>
      </w:r>
      <w:r w:rsidR="00964486">
        <w:rPr>
          <w:rFonts w:ascii="Arial" w:hAnsi="Arial" w:cs="Arial"/>
          <w:sz w:val="24"/>
          <w:szCs w:val="24"/>
          <w:lang w:val="it-IT"/>
        </w:rPr>
        <w:t xml:space="preserve">- </w:t>
      </w:r>
      <w:r>
        <w:rPr>
          <w:rFonts w:ascii="Arial" w:hAnsi="Arial" w:cs="Arial"/>
          <w:sz w:val="24"/>
          <w:szCs w:val="24"/>
          <w:lang w:val="it-IT"/>
        </w:rPr>
        <w:t>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Pr="004F1AA7" w:rsidRDefault="00146E5E" w:rsidP="00F42A4B">
      <w:pPr>
        <w:ind w:firstLine="450"/>
        <w:rPr>
          <w:rFonts w:ascii="Arial" w:hAnsi="Arial" w:cs="Arial"/>
          <w:sz w:val="24"/>
          <w:szCs w:val="24"/>
          <w:lang w:val="it-IT"/>
        </w:rPr>
      </w:pPr>
      <w:r>
        <w:rPr>
          <w:rFonts w:ascii="Arial" w:hAnsi="Arial" w:cs="Arial"/>
          <w:sz w:val="24"/>
          <w:szCs w:val="24"/>
          <w:lang w:val="it-IT"/>
        </w:rPr>
        <w:t xml:space="preserve"> </w:t>
      </w:r>
      <w:r w:rsidR="00A86BC4">
        <w:rPr>
          <w:rFonts w:ascii="Arial" w:hAnsi="Arial" w:cs="Arial"/>
          <w:sz w:val="24"/>
          <w:szCs w:val="24"/>
          <w:lang w:val="it-IT"/>
        </w:rPr>
        <w:t xml:space="preserve">      -</w:t>
      </w:r>
      <w:r w:rsidR="00B30698">
        <w:rPr>
          <w:rFonts w:ascii="Arial" w:hAnsi="Arial" w:cs="Arial"/>
          <w:sz w:val="24"/>
          <w:szCs w:val="24"/>
          <w:lang w:val="it-IT"/>
        </w:rPr>
        <w:t xml:space="preserve"> </w:t>
      </w:r>
      <w:r w:rsidR="00A86BC4">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Default="00E03836" w:rsidP="00E03836">
      <w:pPr>
        <w:pStyle w:val="BodyTextIndent3"/>
        <w:spacing w:line="240" w:lineRule="auto"/>
        <w:ind w:left="450" w:firstLine="0"/>
        <w:rPr>
          <w:color w:val="000000"/>
        </w:rPr>
      </w:pPr>
      <w:r w:rsidRPr="00E03836">
        <w:rPr>
          <w:szCs w:val="24"/>
          <w:lang w:val="it-IT"/>
        </w:rPr>
        <w:t xml:space="preserve">     </w:t>
      </w:r>
      <w:r w:rsidRPr="00B30698">
        <w:rPr>
          <w:color w:val="FF0000"/>
          <w:szCs w:val="24"/>
          <w:lang w:val="it-IT"/>
        </w:rPr>
        <w:t xml:space="preserve"> </w:t>
      </w:r>
      <w:r>
        <w:rPr>
          <w:szCs w:val="24"/>
          <w:lang w:val="it-IT"/>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510876" w:rsidRPr="00E03836" w:rsidRDefault="00510876" w:rsidP="00E03836">
      <w:pPr>
        <w:pStyle w:val="BodyTextIndent3"/>
        <w:spacing w:line="240" w:lineRule="auto"/>
        <w:ind w:left="450" w:firstLine="0"/>
        <w:rPr>
          <w:szCs w:val="24"/>
          <w:lang w:val="it-IT"/>
        </w:rPr>
      </w:pPr>
      <w:r>
        <w:rPr>
          <w:color w:val="000000"/>
        </w:rPr>
        <w:t xml:space="preserve">   -Se recomanda evitarea orientarii nord a dormitoarelor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-Retragerea fata de alini</w:t>
      </w:r>
      <w:r w:rsidR="00154006">
        <w:rPr>
          <w:szCs w:val="24"/>
          <w:lang w:val="it-IT"/>
        </w:rPr>
        <w:t>a</w:t>
      </w:r>
      <w:r w:rsidRPr="004F1AA7">
        <w:rPr>
          <w:szCs w:val="24"/>
          <w:lang w:val="it-IT"/>
        </w:rPr>
        <w:t xml:space="preserve">mentul </w:t>
      </w:r>
      <w:r>
        <w:rPr>
          <w:szCs w:val="24"/>
          <w:lang w:val="it-IT"/>
        </w:rPr>
        <w:t>la drumu</w:t>
      </w:r>
      <w:r w:rsidR="00154006">
        <w:rPr>
          <w:szCs w:val="24"/>
          <w:lang w:val="it-IT"/>
        </w:rPr>
        <w:t>l</w:t>
      </w:r>
      <w:r>
        <w:rPr>
          <w:szCs w:val="24"/>
          <w:lang w:val="it-IT"/>
        </w:rPr>
        <w:t xml:space="preserve"> </w:t>
      </w:r>
      <w:r w:rsidR="00B47414">
        <w:rPr>
          <w:szCs w:val="24"/>
          <w:lang w:val="it-IT"/>
        </w:rPr>
        <w:t xml:space="preserve">existent </w:t>
      </w:r>
      <w:r>
        <w:rPr>
          <w:szCs w:val="24"/>
          <w:lang w:val="it-IT"/>
        </w:rPr>
        <w:t xml:space="preserve"> va fi de </w:t>
      </w:r>
      <w:r w:rsidR="00FF7A40" w:rsidRPr="00E8060F">
        <w:rPr>
          <w:szCs w:val="24"/>
          <w:lang w:val="it-IT"/>
        </w:rPr>
        <w:t>minim</w:t>
      </w:r>
      <w:r w:rsidR="00E03836" w:rsidRPr="00E8060F">
        <w:rPr>
          <w:szCs w:val="24"/>
          <w:lang w:val="it-IT"/>
        </w:rPr>
        <w:t xml:space="preserve"> </w:t>
      </w:r>
      <w:r w:rsidR="00154006">
        <w:rPr>
          <w:szCs w:val="24"/>
          <w:lang w:val="it-IT"/>
        </w:rPr>
        <w:t>25</w:t>
      </w:r>
      <w:r w:rsidR="00E03836" w:rsidRPr="006C3C2D">
        <w:rPr>
          <w:szCs w:val="24"/>
          <w:lang w:val="it-IT"/>
        </w:rPr>
        <w:t xml:space="preserve"> m</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w:t>
      </w:r>
      <w:r w:rsidR="00BE3A62">
        <w:rPr>
          <w:szCs w:val="24"/>
          <w:lang w:val="it-IT"/>
        </w:rPr>
        <w:t>lor</w:t>
      </w:r>
      <w:r w:rsidR="00B47414" w:rsidRPr="00E8060F">
        <w:rPr>
          <w:szCs w:val="24"/>
          <w:lang w:val="it-IT"/>
        </w:rPr>
        <w:t xml:space="preserve">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 xml:space="preserve">cu respectarea </w:t>
      </w:r>
      <w:r w:rsidR="00BE3A62">
        <w:rPr>
          <w:szCs w:val="24"/>
          <w:lang w:val="it-IT"/>
        </w:rPr>
        <w:t>unei retrageri laterale de minim 4m pe latura spre Kaufland, respectiv minim 8m pe laterala spre hotel City. Retragerea posterioara va fi de minim 4m</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0D0FEE" w:rsidRPr="000D0FEE" w:rsidRDefault="00F42A4B" w:rsidP="000D0FEE">
      <w:pPr>
        <w:pStyle w:val="BodyTextIndent3"/>
        <w:spacing w:line="240" w:lineRule="auto"/>
        <w:ind w:firstLine="810"/>
        <w:rPr>
          <w:szCs w:val="24"/>
          <w:lang w:val="it-IT"/>
        </w:rPr>
      </w:pPr>
      <w:r w:rsidRPr="004F1AA7">
        <w:rPr>
          <w:szCs w:val="24"/>
          <w:lang w:val="it-IT"/>
        </w:rPr>
        <w:t>-</w:t>
      </w:r>
      <w:r>
        <w:rPr>
          <w:szCs w:val="24"/>
          <w:lang w:val="it-IT"/>
        </w:rPr>
        <w:t>P+</w:t>
      </w:r>
      <w:r w:rsidR="006977DE">
        <w:rPr>
          <w:szCs w:val="24"/>
          <w:lang w:val="it-IT"/>
        </w:rPr>
        <w:t>8</w:t>
      </w:r>
      <w:r w:rsidR="000D0FEE">
        <w:rPr>
          <w:szCs w:val="24"/>
          <w:lang w:val="it-IT"/>
        </w:rPr>
        <w:t xml:space="preserve"> </w:t>
      </w:r>
      <w:r w:rsidR="000D0FEE" w:rsidRPr="000D0FEE">
        <w:rPr>
          <w:szCs w:val="24"/>
          <w:lang w:val="it-IT"/>
        </w:rPr>
        <w:t xml:space="preserve"> (H max= 37 m)</w:t>
      </w:r>
    </w:p>
    <w:p w:rsidR="00B47414" w:rsidRPr="000D0FEE" w:rsidRDefault="000D0FEE" w:rsidP="00F42A4B">
      <w:pPr>
        <w:pStyle w:val="BodyTextIndent3"/>
        <w:spacing w:line="240" w:lineRule="auto"/>
        <w:ind w:firstLine="810"/>
        <w:rPr>
          <w:szCs w:val="24"/>
          <w:lang w:val="it-IT"/>
        </w:rPr>
      </w:pPr>
      <w:r w:rsidRPr="000D0FEE">
        <w:rPr>
          <w:szCs w:val="24"/>
          <w:lang w:val="it-IT"/>
        </w:rPr>
        <w:t>-P+5  (H max = 22 m )</w:t>
      </w:r>
    </w:p>
    <w:p w:rsidR="00B47414" w:rsidRDefault="00B47414"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AF5DDE" w:rsidRPr="00E8060F" w:rsidRDefault="00AF5DDE" w:rsidP="00AF5DDE">
      <w:pPr>
        <w:pStyle w:val="BodyTextIndent3"/>
        <w:tabs>
          <w:tab w:val="left" w:pos="630"/>
          <w:tab w:val="num" w:pos="2291"/>
        </w:tabs>
        <w:spacing w:line="240" w:lineRule="auto"/>
        <w:ind w:left="446" w:firstLine="0"/>
        <w:rPr>
          <w:lang w:val="fr-F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AF5DDE" w:rsidRPr="004F1AA7" w:rsidRDefault="00AF5DDE" w:rsidP="00A73D94">
      <w:pPr>
        <w:pStyle w:val="BodyTextIndent3"/>
        <w:spacing w:line="240" w:lineRule="auto"/>
        <w:ind w:firstLine="810"/>
        <w:rPr>
          <w:szCs w:val="24"/>
          <w:lang w:val="it-IT"/>
        </w:rPr>
      </w:pP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A4092C">
        <w:rPr>
          <w:lang w:val="fr-FR"/>
        </w:rPr>
        <w:t>10</w:t>
      </w:r>
      <w:bookmarkStart w:id="0" w:name="_GoBack"/>
      <w:bookmarkEnd w:id="0"/>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r>
      <w:r w:rsidRPr="004F1AA7">
        <w:rPr>
          <w:szCs w:val="24"/>
          <w:lang w:val="it-IT"/>
        </w:rPr>
        <w:lastRenderedPageBreak/>
        <w:t>  </w:t>
      </w:r>
      <w:r w:rsidRPr="004F1AA7">
        <w:rPr>
          <w:szCs w:val="24"/>
          <w:lang w:val="it-IT"/>
        </w:rPr>
        <w:br/>
      </w: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00326069">
        <w:rPr>
          <w:rFonts w:ascii="Times New Roman" w:hAnsi="Times New Roman" w:cs="Times New Roman"/>
          <w:b/>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p>
    <w:p w:rsidR="00B30698" w:rsidRDefault="00B30698" w:rsidP="00B30698">
      <w:pPr>
        <w:pStyle w:val="BodyTextIndent3"/>
        <w:spacing w:line="240" w:lineRule="auto"/>
        <w:ind w:firstLine="810"/>
        <w:rPr>
          <w:szCs w:val="24"/>
          <w:lang w:val="it-IT"/>
        </w:rPr>
      </w:pPr>
    </w:p>
    <w:p w:rsidR="00DE142F" w:rsidRDefault="00DE142F" w:rsidP="00F42A4B">
      <w:pPr>
        <w:pStyle w:val="BodyTextIndent3"/>
        <w:spacing w:line="240" w:lineRule="auto"/>
        <w:ind w:firstLine="810"/>
        <w:rPr>
          <w:szCs w:val="24"/>
          <w:lang w:val="it-IT"/>
        </w:rPr>
      </w:pPr>
    </w:p>
    <w:p w:rsidR="002B7316" w:rsidRDefault="002B7316" w:rsidP="002B7316">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Pr="00302084">
        <w:t xml:space="preserve"> </w:t>
      </w:r>
      <w:r w:rsidRPr="00C93B3D">
        <w:t xml:space="preserve"> </w:t>
      </w:r>
      <w:r w:rsidR="00754950" w:rsidRPr="00754950">
        <w:rPr>
          <w:b/>
          <w:bCs/>
          <w:sz w:val="28"/>
          <w:szCs w:val="28"/>
          <w:u w:val="single"/>
        </w:rPr>
        <w:t>Pp – Zona spatii verzi perdele de protectie</w:t>
      </w:r>
    </w:p>
    <w:p w:rsidR="002B7316" w:rsidRPr="004F1AA7" w:rsidRDefault="002B7316" w:rsidP="002B7316">
      <w:pPr>
        <w:ind w:firstLine="450"/>
        <w:rPr>
          <w:bCs/>
          <w:sz w:val="24"/>
          <w:szCs w:val="24"/>
          <w:u w:val="single"/>
        </w:rPr>
      </w:pPr>
    </w:p>
    <w:p w:rsidR="002B7316" w:rsidRPr="004F1AA7" w:rsidRDefault="002B7316" w:rsidP="002B7316">
      <w:pPr>
        <w:ind w:firstLine="450"/>
        <w:jc w:val="center"/>
        <w:rPr>
          <w:bCs/>
          <w:sz w:val="24"/>
          <w:szCs w:val="24"/>
        </w:rPr>
      </w:pPr>
      <w:r w:rsidRPr="004F1AA7">
        <w:rPr>
          <w:bCs/>
          <w:sz w:val="24"/>
          <w:szCs w:val="24"/>
        </w:rPr>
        <w:t>SECTIUNEA I</w:t>
      </w:r>
    </w:p>
    <w:p w:rsidR="002B7316" w:rsidRDefault="002B7316" w:rsidP="002B7316">
      <w:pPr>
        <w:ind w:firstLine="450"/>
        <w:jc w:val="center"/>
        <w:rPr>
          <w:bCs/>
          <w:sz w:val="24"/>
          <w:szCs w:val="24"/>
        </w:rPr>
      </w:pPr>
      <w:r w:rsidRPr="004F1AA7">
        <w:rPr>
          <w:bCs/>
          <w:sz w:val="24"/>
          <w:szCs w:val="24"/>
        </w:rPr>
        <w:t>UTILIZARE FUNCŢIONALĂ</w:t>
      </w:r>
    </w:p>
    <w:p w:rsidR="002B7316" w:rsidRPr="004F1AA7" w:rsidRDefault="002B7316" w:rsidP="002B7316">
      <w:pPr>
        <w:ind w:firstLine="450"/>
        <w:jc w:val="center"/>
        <w:rPr>
          <w:bCs/>
          <w:sz w:val="24"/>
          <w:szCs w:val="24"/>
        </w:rPr>
      </w:pPr>
    </w:p>
    <w:p w:rsidR="002B7316" w:rsidRPr="004F1AA7" w:rsidRDefault="002B7316" w:rsidP="002B7316">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2B7316" w:rsidRDefault="002B7316" w:rsidP="002B7316">
      <w:pPr>
        <w:ind w:firstLine="450"/>
        <w:rPr>
          <w:rFonts w:ascii="Arial" w:hAnsi="Arial" w:cs="Arial"/>
          <w:sz w:val="24"/>
          <w:szCs w:val="24"/>
          <w:lang w:val="it-IT"/>
        </w:rPr>
      </w:pPr>
      <w:r w:rsidRPr="004F1AA7">
        <w:rPr>
          <w:rFonts w:ascii="Arial" w:hAnsi="Arial" w:cs="Arial"/>
          <w:sz w:val="24"/>
          <w:szCs w:val="24"/>
          <w:lang w:val="it-IT"/>
        </w:rPr>
        <w:tab/>
        <w:t xml:space="preserve">    </w:t>
      </w:r>
      <w:r>
        <w:rPr>
          <w:rFonts w:ascii="Arial" w:hAnsi="Arial" w:cs="Arial"/>
          <w:sz w:val="24"/>
          <w:szCs w:val="24"/>
          <w:lang w:val="it-IT"/>
        </w:rPr>
        <w:t>-</w:t>
      </w:r>
      <w:r w:rsidR="007A3D32">
        <w:rPr>
          <w:rFonts w:ascii="Arial" w:hAnsi="Arial" w:cs="Arial"/>
          <w:sz w:val="24"/>
          <w:szCs w:val="24"/>
          <w:lang w:val="it-IT"/>
        </w:rPr>
        <w:t xml:space="preserve"> </w:t>
      </w:r>
      <w:r w:rsidR="00754950">
        <w:rPr>
          <w:rFonts w:ascii="Arial" w:hAnsi="Arial" w:cs="Arial"/>
          <w:sz w:val="24"/>
          <w:szCs w:val="24"/>
          <w:lang w:val="it-IT"/>
        </w:rPr>
        <w:t>spatii verzi amenajate</w:t>
      </w:r>
    </w:p>
    <w:p w:rsidR="002B7316" w:rsidRDefault="002B7316" w:rsidP="002B7316">
      <w:pPr>
        <w:ind w:firstLine="450"/>
        <w:rPr>
          <w:rFonts w:ascii="Arial" w:hAnsi="Arial" w:cs="Arial"/>
          <w:sz w:val="24"/>
          <w:szCs w:val="24"/>
          <w:lang w:val="it-IT"/>
        </w:rPr>
      </w:pPr>
      <w:r>
        <w:rPr>
          <w:rFonts w:ascii="Arial" w:hAnsi="Arial" w:cs="Arial"/>
          <w:sz w:val="24"/>
          <w:szCs w:val="24"/>
          <w:lang w:val="it-IT"/>
        </w:rPr>
        <w:t xml:space="preserve">        - </w:t>
      </w:r>
      <w:r w:rsidR="00754950">
        <w:rPr>
          <w:rFonts w:ascii="Arial" w:hAnsi="Arial" w:cs="Arial"/>
          <w:sz w:val="24"/>
          <w:szCs w:val="24"/>
          <w:lang w:val="it-IT"/>
        </w:rPr>
        <w:t>accese carosabile si pietonale</w:t>
      </w:r>
    </w:p>
    <w:p w:rsidR="007A3D32" w:rsidRDefault="007A3D32" w:rsidP="002B7316">
      <w:pPr>
        <w:ind w:firstLine="450"/>
        <w:rPr>
          <w:rFonts w:ascii="Arial" w:hAnsi="Arial" w:cs="Arial"/>
          <w:sz w:val="24"/>
          <w:szCs w:val="24"/>
          <w:lang w:val="it-IT"/>
        </w:rPr>
      </w:pPr>
      <w:r>
        <w:rPr>
          <w:rFonts w:ascii="Arial" w:hAnsi="Arial" w:cs="Arial"/>
          <w:sz w:val="24"/>
          <w:szCs w:val="24"/>
          <w:lang w:val="it-IT"/>
        </w:rPr>
        <w:t xml:space="preserve">        - panouri publicitare cu conditia respectarii Regulamentului </w:t>
      </w:r>
      <w:r w:rsidR="0088610C">
        <w:rPr>
          <w:rFonts w:ascii="Arial" w:hAnsi="Arial" w:cs="Arial"/>
          <w:sz w:val="24"/>
          <w:szCs w:val="24"/>
          <w:lang w:val="it-IT"/>
        </w:rPr>
        <w:t xml:space="preserve">privind </w:t>
      </w:r>
      <w:r>
        <w:rPr>
          <w:rFonts w:ascii="Arial" w:hAnsi="Arial" w:cs="Arial"/>
          <w:sz w:val="24"/>
          <w:szCs w:val="24"/>
          <w:lang w:val="it-IT"/>
        </w:rPr>
        <w:t>publicitate</w:t>
      </w:r>
      <w:r w:rsidR="0088610C">
        <w:rPr>
          <w:rFonts w:ascii="Arial" w:hAnsi="Arial" w:cs="Arial"/>
          <w:sz w:val="24"/>
          <w:szCs w:val="24"/>
          <w:lang w:val="it-IT"/>
        </w:rPr>
        <w:t>a stradala</w:t>
      </w:r>
    </w:p>
    <w:p w:rsidR="002B7316" w:rsidRDefault="007A3D32" w:rsidP="002B7316">
      <w:pPr>
        <w:ind w:firstLine="450"/>
        <w:rPr>
          <w:rFonts w:ascii="Arial" w:hAnsi="Arial" w:cs="Arial"/>
          <w:sz w:val="24"/>
          <w:szCs w:val="24"/>
          <w:lang w:val="it-IT"/>
        </w:rPr>
      </w:pPr>
      <w:r>
        <w:rPr>
          <w:rFonts w:ascii="Arial" w:hAnsi="Arial" w:cs="Arial"/>
          <w:sz w:val="24"/>
          <w:szCs w:val="24"/>
          <w:lang w:val="it-IT"/>
        </w:rPr>
        <w:t xml:space="preserve">        - </w:t>
      </w:r>
      <w:r w:rsidR="002B7316">
        <w:rPr>
          <w:rFonts w:ascii="Arial" w:hAnsi="Arial" w:cs="Arial"/>
          <w:sz w:val="24"/>
          <w:szCs w:val="24"/>
          <w:lang w:val="it-IT"/>
        </w:rPr>
        <w:t>constructii aferente echiparii tehnico-edilitare si imprejmuiri, etc</w:t>
      </w:r>
    </w:p>
    <w:p w:rsidR="007A3D32" w:rsidRPr="004F1AA7" w:rsidRDefault="007A3D32" w:rsidP="002B7316">
      <w:pPr>
        <w:ind w:firstLine="450"/>
        <w:rPr>
          <w:rFonts w:ascii="Arial" w:hAnsi="Arial" w:cs="Arial"/>
          <w:sz w:val="24"/>
          <w:szCs w:val="24"/>
          <w:lang w:val="it-IT"/>
        </w:rPr>
      </w:pPr>
    </w:p>
    <w:p w:rsidR="002B7316" w:rsidRPr="004F1AA7" w:rsidRDefault="002B7316" w:rsidP="002B7316">
      <w:pPr>
        <w:ind w:firstLine="450"/>
        <w:rPr>
          <w:rFonts w:ascii="Arial" w:hAnsi="Arial" w:cs="Arial"/>
          <w:sz w:val="24"/>
          <w:szCs w:val="24"/>
          <w:lang w:val="it-IT"/>
        </w:rPr>
      </w:pPr>
      <w:r w:rsidRPr="004F1AA7">
        <w:rPr>
          <w:rFonts w:ascii="Arial" w:hAnsi="Arial" w:cs="Arial"/>
          <w:sz w:val="24"/>
          <w:szCs w:val="24"/>
          <w:u w:val="single"/>
          <w:lang w:val="it-IT"/>
        </w:rPr>
        <w:t>Art.2.</w:t>
      </w:r>
      <w:r w:rsidR="00D10715">
        <w:rPr>
          <w:rFonts w:ascii="Arial" w:hAnsi="Arial" w:cs="Arial"/>
          <w:sz w:val="24"/>
          <w:szCs w:val="24"/>
          <w:u w:val="single"/>
          <w:lang w:val="it-IT"/>
        </w:rPr>
        <w:t xml:space="preserve"> </w:t>
      </w:r>
      <w:r w:rsidRPr="004F1AA7">
        <w:rPr>
          <w:rFonts w:ascii="Arial" w:hAnsi="Arial" w:cs="Arial"/>
          <w:sz w:val="24"/>
          <w:szCs w:val="24"/>
          <w:lang w:val="it-IT"/>
        </w:rPr>
        <w:t>-</w:t>
      </w:r>
      <w:r w:rsidR="00D10715">
        <w:rPr>
          <w:rFonts w:ascii="Arial" w:hAnsi="Arial" w:cs="Arial"/>
          <w:sz w:val="24"/>
          <w:szCs w:val="24"/>
          <w:lang w:val="it-IT"/>
        </w:rPr>
        <w:t xml:space="preserve"> </w:t>
      </w:r>
      <w:r w:rsidRPr="004F1AA7">
        <w:rPr>
          <w:rFonts w:ascii="Arial" w:hAnsi="Arial" w:cs="Arial"/>
          <w:sz w:val="24"/>
          <w:szCs w:val="24"/>
          <w:lang w:val="it-IT"/>
        </w:rPr>
        <w:t>UTILIZĂRI ADMISE CU CONDIŢII</w:t>
      </w:r>
    </w:p>
    <w:p w:rsidR="002B7316" w:rsidRDefault="002B7316" w:rsidP="002B7316">
      <w:pPr>
        <w:ind w:firstLine="450"/>
        <w:rPr>
          <w:rFonts w:ascii="Arial" w:hAnsi="Arial" w:cs="Arial"/>
          <w:sz w:val="24"/>
          <w:szCs w:val="24"/>
          <w:lang w:val="it-IT"/>
        </w:rPr>
      </w:pPr>
      <w:r w:rsidRPr="004F1AA7">
        <w:rPr>
          <w:rFonts w:ascii="Arial" w:hAnsi="Arial" w:cs="Arial"/>
          <w:sz w:val="24"/>
          <w:szCs w:val="24"/>
          <w:lang w:val="it-IT"/>
        </w:rPr>
        <w:t xml:space="preserve">       -</w:t>
      </w:r>
      <w:r>
        <w:rPr>
          <w:rFonts w:ascii="Arial" w:hAnsi="Arial" w:cs="Arial"/>
          <w:sz w:val="24"/>
          <w:szCs w:val="24"/>
          <w:lang w:val="it-IT"/>
        </w:rPr>
        <w:t>orice constructie de la art.1 pana la obtinerea autorizatiei de construire</w:t>
      </w:r>
    </w:p>
    <w:p w:rsidR="002B7316" w:rsidRPr="004F1AA7" w:rsidRDefault="002B7316" w:rsidP="002B7316">
      <w:pPr>
        <w:ind w:firstLine="450"/>
        <w:rPr>
          <w:rFonts w:ascii="Arial" w:hAnsi="Arial" w:cs="Arial"/>
          <w:sz w:val="24"/>
          <w:szCs w:val="24"/>
          <w:lang w:val="it-IT"/>
        </w:rPr>
      </w:pPr>
      <w:r>
        <w:rPr>
          <w:rFonts w:ascii="Arial" w:hAnsi="Arial" w:cs="Arial"/>
          <w:sz w:val="24"/>
          <w:szCs w:val="24"/>
          <w:lang w:val="it-IT"/>
        </w:rPr>
        <w:t xml:space="preserve">       -</w:t>
      </w: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2B7316" w:rsidRPr="004F1AA7" w:rsidRDefault="002B7316" w:rsidP="00754950">
      <w:pPr>
        <w:ind w:firstLine="450"/>
        <w:rPr>
          <w:rFonts w:ascii="Arial" w:hAnsi="Arial" w:cs="Arial"/>
          <w:sz w:val="24"/>
          <w:szCs w:val="24"/>
          <w:lang w:val="it-IT"/>
        </w:rPr>
      </w:pPr>
      <w:r w:rsidRPr="004F1AA7">
        <w:rPr>
          <w:rFonts w:ascii="Arial" w:hAnsi="Arial" w:cs="Arial"/>
          <w:sz w:val="24"/>
          <w:szCs w:val="24"/>
          <w:lang w:val="it-IT"/>
        </w:rPr>
        <w:tab/>
        <w:t xml:space="preserve">  - </w:t>
      </w:r>
      <w:r w:rsidR="00754950">
        <w:rPr>
          <w:rFonts w:ascii="Arial" w:hAnsi="Arial" w:cs="Arial"/>
          <w:sz w:val="24"/>
          <w:szCs w:val="24"/>
          <w:lang w:val="it-IT"/>
        </w:rPr>
        <w:t>Orice alta functiune decat cele permise</w:t>
      </w:r>
    </w:p>
    <w:p w:rsidR="00645F16" w:rsidRPr="004F1AA7" w:rsidRDefault="00645F16" w:rsidP="00247B0F">
      <w:pPr>
        <w:pStyle w:val="BodyTextIndent3"/>
        <w:spacing w:line="240" w:lineRule="auto"/>
        <w:ind w:left="450" w:firstLine="0"/>
        <w:rPr>
          <w:lang w:val="ro-RO"/>
        </w:rPr>
      </w:pPr>
    </w:p>
    <w:p w:rsidR="00754950" w:rsidRPr="004F1AA7" w:rsidRDefault="00754950" w:rsidP="00754950">
      <w:pPr>
        <w:pStyle w:val="BodyTextIndent3"/>
        <w:spacing w:line="240" w:lineRule="auto"/>
        <w:ind w:left="450" w:firstLine="0"/>
        <w:rPr>
          <w:szCs w:val="24"/>
          <w:lang w:val="it-IT"/>
        </w:rPr>
      </w:pPr>
      <w:r w:rsidRPr="004F1AA7">
        <w:rPr>
          <w:szCs w:val="24"/>
          <w:u w:val="single"/>
          <w:lang w:val="it-IT"/>
        </w:rPr>
        <w:t>Art.1</w:t>
      </w:r>
      <w:r>
        <w:rPr>
          <w:szCs w:val="24"/>
          <w:u w:val="single"/>
          <w:lang w:val="it-IT"/>
        </w:rPr>
        <w:t>3</w:t>
      </w:r>
      <w:r w:rsidRPr="004F1AA7">
        <w:rPr>
          <w:szCs w:val="24"/>
          <w:u w:val="single"/>
          <w:lang w:val="it-IT"/>
        </w:rPr>
        <w:t>.</w:t>
      </w:r>
      <w:r w:rsidR="00D10715">
        <w:rPr>
          <w:szCs w:val="24"/>
          <w:u w:val="single"/>
          <w:lang w:val="it-IT"/>
        </w:rPr>
        <w:t xml:space="preserve"> </w:t>
      </w:r>
      <w:r w:rsidRPr="004F1AA7">
        <w:rPr>
          <w:szCs w:val="24"/>
          <w:lang w:val="it-IT"/>
        </w:rPr>
        <w:t>-</w:t>
      </w:r>
      <w:r w:rsidR="00D10715">
        <w:rPr>
          <w:szCs w:val="24"/>
          <w:lang w:val="it-IT"/>
        </w:rPr>
        <w:t xml:space="preserve"> </w:t>
      </w:r>
      <w:r>
        <w:rPr>
          <w:szCs w:val="24"/>
          <w:lang w:val="it-IT"/>
        </w:rPr>
        <w:t xml:space="preserve">CONDITII DE </w:t>
      </w:r>
      <w:r w:rsidRPr="004F1AA7">
        <w:rPr>
          <w:szCs w:val="24"/>
          <w:lang w:val="it-IT"/>
        </w:rPr>
        <w:t>ECHIPARE EDILITARĂ</w:t>
      </w:r>
    </w:p>
    <w:p w:rsidR="00754950" w:rsidRPr="004F1AA7" w:rsidRDefault="00754950" w:rsidP="00754950">
      <w:pPr>
        <w:pStyle w:val="BodyTextIndent3"/>
        <w:spacing w:line="240" w:lineRule="auto"/>
        <w:ind w:firstLine="810"/>
        <w:rPr>
          <w:szCs w:val="24"/>
          <w:lang w:val="it-IT"/>
        </w:rPr>
      </w:pPr>
      <w:r w:rsidRPr="004F1AA7">
        <w:rPr>
          <w:szCs w:val="24"/>
          <w:lang w:val="it-IT"/>
        </w:rPr>
        <w:t>-</w:t>
      </w:r>
      <w:r>
        <w:rPr>
          <w:szCs w:val="24"/>
          <w:lang w:val="it-IT"/>
        </w:rPr>
        <w:t>Bransamentele se vor executa obligatoriu subteran.</w:t>
      </w:r>
    </w:p>
    <w:p w:rsidR="00754950" w:rsidRDefault="00754950" w:rsidP="00754950">
      <w:pPr>
        <w:pStyle w:val="BodyTextIndent3"/>
        <w:spacing w:line="240" w:lineRule="auto"/>
        <w:ind w:left="450" w:firstLine="0"/>
        <w:rPr>
          <w:szCs w:val="24"/>
          <w:u w:val="single"/>
          <w:lang w:val="it-IT"/>
        </w:rPr>
      </w:pPr>
    </w:p>
    <w:p w:rsidR="00754950" w:rsidRPr="004F1AA7" w:rsidRDefault="00754950" w:rsidP="00754950">
      <w:pPr>
        <w:pStyle w:val="BodyTextIndent3"/>
        <w:spacing w:line="240" w:lineRule="auto"/>
        <w:ind w:left="450" w:firstLine="0"/>
        <w:rPr>
          <w:szCs w:val="24"/>
          <w:lang w:val="it-IT"/>
        </w:rPr>
      </w:pPr>
      <w:r w:rsidRPr="004F1AA7">
        <w:rPr>
          <w:szCs w:val="24"/>
          <w:u w:val="single"/>
          <w:lang w:val="it-IT"/>
        </w:rPr>
        <w:t>Art.1</w:t>
      </w:r>
      <w:r>
        <w:rPr>
          <w:szCs w:val="24"/>
          <w:u w:val="single"/>
          <w:lang w:val="it-IT"/>
        </w:rPr>
        <w:t>4</w:t>
      </w:r>
      <w:r w:rsidRPr="004F1AA7">
        <w:rPr>
          <w:szCs w:val="24"/>
          <w:u w:val="single"/>
          <w:lang w:val="it-IT"/>
        </w:rPr>
        <w:t>.</w:t>
      </w:r>
      <w:r w:rsidR="00D10715">
        <w:rPr>
          <w:szCs w:val="24"/>
          <w:u w:val="single"/>
          <w:lang w:val="it-IT"/>
        </w:rPr>
        <w:t xml:space="preserve"> </w:t>
      </w:r>
      <w:r w:rsidRPr="004F1AA7">
        <w:rPr>
          <w:szCs w:val="24"/>
          <w:lang w:val="it-IT"/>
        </w:rPr>
        <w:t>-</w:t>
      </w:r>
      <w:r w:rsidR="00D10715">
        <w:rPr>
          <w:szCs w:val="24"/>
          <w:lang w:val="it-IT"/>
        </w:rPr>
        <w:t xml:space="preserve"> </w:t>
      </w:r>
      <w:r w:rsidRPr="004F1AA7">
        <w:rPr>
          <w:szCs w:val="24"/>
          <w:lang w:val="it-IT"/>
        </w:rPr>
        <w:t>SPAŢII VERZI ŞI PLANTATE</w:t>
      </w:r>
    </w:p>
    <w:p w:rsidR="00754950" w:rsidRPr="002D247F" w:rsidRDefault="00754950" w:rsidP="00754950">
      <w:pPr>
        <w:pStyle w:val="BodyTextIndent3"/>
        <w:spacing w:line="240" w:lineRule="auto"/>
        <w:ind w:left="450" w:firstLine="0"/>
        <w:rPr>
          <w:lang w:val="fr-FR"/>
        </w:rPr>
      </w:pPr>
      <w:r w:rsidRPr="002D247F">
        <w:rPr>
          <w:szCs w:val="24"/>
          <w:lang w:val="it-IT"/>
        </w:rPr>
        <w:t>-</w:t>
      </w:r>
      <w:r w:rsidRPr="002D247F">
        <w:rPr>
          <w:lang w:val="fr-FR"/>
        </w:rPr>
        <w:t xml:space="preserve">se va asigura minim </w:t>
      </w:r>
      <w:r>
        <w:rPr>
          <w:lang w:val="fr-FR"/>
        </w:rPr>
        <w:t>80</w:t>
      </w:r>
      <w:r w:rsidRPr="002D247F">
        <w:rPr>
          <w:lang w:val="fr-FR"/>
        </w:rPr>
        <w:t>% spatii verzi</w:t>
      </w:r>
    </w:p>
    <w:p w:rsidR="00754950" w:rsidRPr="002D247F" w:rsidRDefault="00754950" w:rsidP="00754950">
      <w:pPr>
        <w:pStyle w:val="BodyTextIndent3"/>
        <w:spacing w:line="240" w:lineRule="auto"/>
        <w:ind w:left="450" w:firstLine="0"/>
        <w:rPr>
          <w:lang w:val="fr-FR"/>
        </w:rPr>
      </w:pPr>
    </w:p>
    <w:p w:rsidR="00754950" w:rsidRPr="002D247F" w:rsidRDefault="00754950" w:rsidP="00754950">
      <w:pPr>
        <w:pStyle w:val="BodyTextIndent3"/>
        <w:spacing w:line="240" w:lineRule="auto"/>
        <w:ind w:firstLine="810"/>
        <w:jc w:val="left"/>
        <w:rPr>
          <w:szCs w:val="24"/>
          <w:lang w:val="it-IT"/>
        </w:rPr>
      </w:pPr>
      <w:r w:rsidRPr="002D247F">
        <w:rPr>
          <w:szCs w:val="24"/>
          <w:u w:val="single"/>
          <w:lang w:val="it-IT"/>
        </w:rPr>
        <w:t>Art.15.</w:t>
      </w:r>
      <w:r w:rsidR="00D10715">
        <w:rPr>
          <w:szCs w:val="24"/>
          <w:u w:val="single"/>
          <w:lang w:val="it-IT"/>
        </w:rPr>
        <w:t xml:space="preserve"> </w:t>
      </w:r>
      <w:r w:rsidRPr="002D247F">
        <w:rPr>
          <w:szCs w:val="24"/>
          <w:lang w:val="it-IT"/>
        </w:rPr>
        <w:t>-</w:t>
      </w:r>
      <w:r w:rsidR="00D10715">
        <w:rPr>
          <w:szCs w:val="24"/>
          <w:lang w:val="it-IT"/>
        </w:rPr>
        <w:t xml:space="preserve"> </w:t>
      </w:r>
      <w:r w:rsidRPr="002D247F">
        <w:rPr>
          <w:szCs w:val="24"/>
          <w:lang w:val="it-IT"/>
        </w:rPr>
        <w:t>ÎMPREJMUIRI</w:t>
      </w:r>
    </w:p>
    <w:p w:rsidR="00247B0F" w:rsidRDefault="00754950" w:rsidP="00754950">
      <w:pPr>
        <w:pStyle w:val="BodyTextIndent3"/>
        <w:spacing w:line="240" w:lineRule="auto"/>
        <w:ind w:left="450" w:firstLine="0"/>
        <w:rPr>
          <w:szCs w:val="24"/>
          <w:lang w:val="it-IT"/>
        </w:rPr>
      </w:pPr>
      <w:r w:rsidRPr="004F1AA7">
        <w:rPr>
          <w:szCs w:val="24"/>
          <w:lang w:val="it-IT"/>
        </w:rPr>
        <w:t>-</w:t>
      </w:r>
      <w:r>
        <w:rPr>
          <w:szCs w:val="24"/>
          <w:lang w:val="it-IT"/>
        </w:rPr>
        <w:t xml:space="preserve">In cazul in care se vor amenaja Imprejmuirile la aliniament </w:t>
      </w:r>
      <w:r w:rsidRPr="004F1AA7">
        <w:rPr>
          <w:szCs w:val="24"/>
          <w:lang w:val="it-IT"/>
        </w:rPr>
        <w:t xml:space="preserve"> vor fi tratate în mod unitar în întreaga zonă, vor avea maxim </w:t>
      </w:r>
      <w:r>
        <w:rPr>
          <w:szCs w:val="24"/>
          <w:lang w:val="it-IT"/>
        </w:rPr>
        <w:t>1,6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Pr>
          <w:szCs w:val="24"/>
          <w:lang w:val="it-IT"/>
        </w:rPr>
        <w:t xml:space="preserve"> Se accepta si delimitarea parcelei cu gard viu</w:t>
      </w:r>
    </w:p>
    <w:p w:rsidR="00754950" w:rsidRPr="004F1AA7" w:rsidRDefault="00754950" w:rsidP="00754950">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3A2" w:rsidRDefault="00AF03A2">
      <w:r>
        <w:separator/>
      </w:r>
    </w:p>
  </w:endnote>
  <w:endnote w:type="continuationSeparator" w:id="0">
    <w:p w:rsidR="00AF03A2" w:rsidRDefault="00AF0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3A2" w:rsidRDefault="00AF03A2">
      <w:r>
        <w:separator/>
      </w:r>
    </w:p>
  </w:footnote>
  <w:footnote w:type="continuationSeparator" w:id="0">
    <w:p w:rsidR="00AF03A2" w:rsidRDefault="00AF0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FEE" w:rsidRDefault="00001288">
    <w:pPr>
      <w:pStyle w:val="Header"/>
      <w:framePr w:wrap="around" w:vAnchor="text" w:hAnchor="margin" w:y="1"/>
      <w:rPr>
        <w:rStyle w:val="PageNumber"/>
      </w:rPr>
    </w:pPr>
    <w:r>
      <w:rPr>
        <w:rStyle w:val="PageNumber"/>
      </w:rPr>
      <w:fldChar w:fldCharType="begin"/>
    </w:r>
    <w:r w:rsidR="000D0FEE">
      <w:rPr>
        <w:rStyle w:val="PageNumber"/>
      </w:rPr>
      <w:instrText xml:space="preserve">PAGE  </w:instrText>
    </w:r>
    <w:r>
      <w:rPr>
        <w:rStyle w:val="PageNumber"/>
      </w:rPr>
      <w:fldChar w:fldCharType="separate"/>
    </w:r>
    <w:r w:rsidR="000D0FEE">
      <w:rPr>
        <w:rStyle w:val="PageNumber"/>
        <w:noProof/>
      </w:rPr>
      <w:t>2</w:t>
    </w:r>
    <w:r>
      <w:rPr>
        <w:rStyle w:val="PageNumber"/>
      </w:rPr>
      <w:fldChar w:fldCharType="end"/>
    </w:r>
  </w:p>
  <w:p w:rsidR="000D0FEE" w:rsidRDefault="000D0FEE">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232"/>
    <w:rsid w:val="00001288"/>
    <w:rsid w:val="0000210A"/>
    <w:rsid w:val="000107A1"/>
    <w:rsid w:val="0001385C"/>
    <w:rsid w:val="00015B9D"/>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0FEE"/>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46E5E"/>
    <w:rsid w:val="00154006"/>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86AD0"/>
    <w:rsid w:val="002A29A4"/>
    <w:rsid w:val="002A50AC"/>
    <w:rsid w:val="002A75AF"/>
    <w:rsid w:val="002B5A8C"/>
    <w:rsid w:val="002B7316"/>
    <w:rsid w:val="002C5EE4"/>
    <w:rsid w:val="002C68F5"/>
    <w:rsid w:val="002D247F"/>
    <w:rsid w:val="002E070A"/>
    <w:rsid w:val="002F38B1"/>
    <w:rsid w:val="003005D2"/>
    <w:rsid w:val="00301B36"/>
    <w:rsid w:val="00302084"/>
    <w:rsid w:val="00307CAA"/>
    <w:rsid w:val="00326069"/>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502BCB"/>
    <w:rsid w:val="005072D3"/>
    <w:rsid w:val="00510876"/>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7DE"/>
    <w:rsid w:val="00697855"/>
    <w:rsid w:val="006A10B6"/>
    <w:rsid w:val="006B1D90"/>
    <w:rsid w:val="006B4DC8"/>
    <w:rsid w:val="006B762C"/>
    <w:rsid w:val="006C3C2D"/>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54950"/>
    <w:rsid w:val="0076114C"/>
    <w:rsid w:val="00770D85"/>
    <w:rsid w:val="0077323A"/>
    <w:rsid w:val="0077772C"/>
    <w:rsid w:val="00781ECB"/>
    <w:rsid w:val="0078773D"/>
    <w:rsid w:val="00787B65"/>
    <w:rsid w:val="00792CFC"/>
    <w:rsid w:val="007971D7"/>
    <w:rsid w:val="007A3D32"/>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195E"/>
    <w:rsid w:val="00865C8C"/>
    <w:rsid w:val="00871778"/>
    <w:rsid w:val="00876351"/>
    <w:rsid w:val="00877918"/>
    <w:rsid w:val="0088610C"/>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254E"/>
    <w:rsid w:val="009558A2"/>
    <w:rsid w:val="00964486"/>
    <w:rsid w:val="0097021E"/>
    <w:rsid w:val="00981A6D"/>
    <w:rsid w:val="00981E56"/>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26187"/>
    <w:rsid w:val="00A30C1E"/>
    <w:rsid w:val="00A3141F"/>
    <w:rsid w:val="00A32776"/>
    <w:rsid w:val="00A3750D"/>
    <w:rsid w:val="00A4092C"/>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03A2"/>
    <w:rsid w:val="00AF5DDE"/>
    <w:rsid w:val="00AF6ABC"/>
    <w:rsid w:val="00AF6CA7"/>
    <w:rsid w:val="00AF6F4A"/>
    <w:rsid w:val="00AF7EBC"/>
    <w:rsid w:val="00B01841"/>
    <w:rsid w:val="00B04CC3"/>
    <w:rsid w:val="00B10105"/>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3A62"/>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715"/>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FB7854-693A-45F7-B58D-829D979E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455C9-361E-4F82-AFFB-43FFD7F0D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1463</Words>
  <Characters>8340</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9784</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9</cp:revision>
  <cp:lastPrinted>2017-10-11T14:45:00Z</cp:lastPrinted>
  <dcterms:created xsi:type="dcterms:W3CDTF">2018-04-24T08:24:00Z</dcterms:created>
  <dcterms:modified xsi:type="dcterms:W3CDTF">2018-04-25T06:34:00Z</dcterms:modified>
</cp:coreProperties>
</file>